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Деловодството е мястото, където се подреждат и организират всички дела и може да получите информация за движението на делата. Информация за движението на делата може да получите и от регистратурата, както и от информационния център, ако в съда има обособен такъв.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  <w:t>В деловодството се водят и поддържат следните книги и регистри, по година и вид на делата: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g-BG"/>
        </w:rPr>
        <w:t>Азбучник 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– съдържа и дава информация за номера на образуваното дело по името на жалбоподателя.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proofErr w:type="spellStart"/>
      <w:r w:rsidRPr="003F6F7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g-BG"/>
        </w:rPr>
        <w:t>Описна</w:t>
      </w:r>
      <w:proofErr w:type="spellEnd"/>
      <w:r w:rsidRPr="003F6F7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g-BG"/>
        </w:rPr>
        <w:t xml:space="preserve"> книга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 – съдържа и осигурява цялостна информация за движението на делото от неговото образуване до приключването му.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g-BG"/>
        </w:rPr>
        <w:t>Срочна книга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 – съдържа и дава информация за резултата от съдебни заседания и датата на следващото насрочено заседание по дадено дело.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ВАЖНО !</w:t>
      </w:r>
      <w:r w:rsidRPr="003F6F7A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За да получите информация за дадено дело, трябва да знаете номера на делото, годината в която е образувано, състава по делото.</w:t>
      </w:r>
      <w:r w:rsidRPr="003F6F7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Можете да получите информация за Вашето дело целогодишно.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Страните и техните представители имат право и могат да поискат да се запознаят с дадено дело – за целта делата са на разположение в деловодството и страните могат да се запознаят със съответното дело преди съдебното заседание в адвокатската стая в съда или в друго, обособено за това място.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numPr>
          <w:ilvl w:val="0"/>
          <w:numId w:val="2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bg-BG"/>
        </w:rPr>
        <w:t>САМО СТРАНИТЕ И ТЕХНИТЕ ПРЕДСТАВИТЕЛИ ИМАТ ПЪЛЕН ДОСТЪП ДО ДАДЕНО ДЕЛО. ДРУГИ ЛИЦА МОГАТ ДА ПОЛУЧАТ ДОСТЪП ДО ДЕЛОТО, КАТО ПОКАЖАТ ПРЕД СЪДА, ЧЕ ИМАТ ЗАКОНЕН ИНТЕРЕС ПО ДЕЛОТО.</w:t>
      </w:r>
      <w:r w:rsidRPr="003F6F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bg-BG"/>
        </w:rPr>
        <w:br/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</w:p>
    <w:p w:rsidR="003F6F7A" w:rsidRPr="003F6F7A" w:rsidRDefault="003F6F7A" w:rsidP="003F6F7A">
      <w:pPr>
        <w:numPr>
          <w:ilvl w:val="0"/>
          <w:numId w:val="3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СЪДЕБНИТЕ СЛУЖИТЕЛИ НЕ МОГАТ ДА ДАВАТ ПРАВНИ СЪВЕТИ.</w:t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</w:p>
    <w:p w:rsidR="003F6F7A" w:rsidRPr="003F6F7A" w:rsidRDefault="003F6F7A" w:rsidP="003F6F7A">
      <w:pPr>
        <w:numPr>
          <w:ilvl w:val="0"/>
          <w:numId w:val="4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ПРОФЕСИОНАЛНА ЮРИДИЧЕСКА ПОМОЩ ТЪРСЕТЕ ОТ АДВОКАТИ.</w:t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</w:p>
    <w:p w:rsidR="003F6F7A" w:rsidRPr="003F6F7A" w:rsidRDefault="003F6F7A" w:rsidP="003F6F7A">
      <w:pPr>
        <w:numPr>
          <w:ilvl w:val="0"/>
          <w:numId w:val="5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3F6F7A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СЪДИИТЕ НЕ ПРИЕМАТ ГРАЖДАНИ И НЕ ДАВАТ КОНСУЛТАЦИИ.</w:t>
      </w:r>
    </w:p>
    <w:p w:rsidR="003F6F7A" w:rsidRPr="003F6F7A" w:rsidRDefault="003F6F7A" w:rsidP="003F6F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bg-BG"/>
        </w:rPr>
      </w:pP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В </w:t>
      </w:r>
      <w:r w:rsidRPr="003F6F7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g-BG"/>
        </w:rPr>
        <w:t>СЛУЖБА “АРХИВ”</w:t>
      </w:r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 xml:space="preserve"> се съхраняват всички приключени дела и деловодни книги. За да получите информация за такова дело, трябва да знаете архивния номер. Можете да го получите от </w:t>
      </w:r>
      <w:proofErr w:type="spellStart"/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>описната</w:t>
      </w:r>
      <w:proofErr w:type="spellEnd"/>
      <w:r w:rsidRPr="003F6F7A">
        <w:rPr>
          <w:rFonts w:ascii="Tahoma" w:eastAsia="Times New Roman" w:hAnsi="Tahoma" w:cs="Tahoma"/>
          <w:color w:val="000000"/>
          <w:bdr w:val="none" w:sz="0" w:space="0" w:color="auto" w:frame="1"/>
          <w:lang w:eastAsia="bg-BG"/>
        </w:rPr>
        <w:t xml:space="preserve"> книга. По Ваша молба, служба “Архив” може да издаде копия от съдебни решения или други документи и удостоверения.</w:t>
      </w:r>
    </w:p>
    <w:p w:rsidR="00452E62" w:rsidRDefault="00452E62" w:rsidP="003F6F7A">
      <w:bookmarkStart w:id="0" w:name="_GoBack"/>
      <w:bookmarkEnd w:id="0"/>
    </w:p>
    <w:sectPr w:rsidR="0045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278B"/>
    <w:multiLevelType w:val="multilevel"/>
    <w:tmpl w:val="699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A7A88"/>
    <w:multiLevelType w:val="multilevel"/>
    <w:tmpl w:val="1CA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91387"/>
    <w:multiLevelType w:val="multilevel"/>
    <w:tmpl w:val="AD76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D876E0"/>
    <w:multiLevelType w:val="multilevel"/>
    <w:tmpl w:val="722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9D27E5"/>
    <w:multiLevelType w:val="multilevel"/>
    <w:tmpl w:val="5FE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0"/>
    <w:rsid w:val="003F6F7A"/>
    <w:rsid w:val="00452E62"/>
    <w:rsid w:val="009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B845B-0031-40AA-A65C-D2A90C2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F7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F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3F6F7A"/>
  </w:style>
  <w:style w:type="character" w:customStyle="1" w:styleId="fs22">
    <w:name w:val="fs22"/>
    <w:basedOn w:val="DefaultParagraphFont"/>
    <w:rsid w:val="003F6F7A"/>
  </w:style>
  <w:style w:type="character" w:customStyle="1" w:styleId="ff0">
    <w:name w:val="ff0"/>
    <w:basedOn w:val="DefaultParagraphFont"/>
    <w:rsid w:val="003F6F7A"/>
  </w:style>
  <w:style w:type="character" w:customStyle="1" w:styleId="fs24">
    <w:name w:val="fs24"/>
    <w:basedOn w:val="DefaultParagraphFont"/>
    <w:rsid w:val="003F6F7A"/>
  </w:style>
  <w:style w:type="character" w:customStyle="1" w:styleId="ff1">
    <w:name w:val="ff1"/>
    <w:basedOn w:val="DefaultParagraphFont"/>
    <w:rsid w:val="003F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2</cp:revision>
  <dcterms:created xsi:type="dcterms:W3CDTF">2019-05-15T13:48:00Z</dcterms:created>
  <dcterms:modified xsi:type="dcterms:W3CDTF">2019-05-15T13:49:00Z</dcterms:modified>
</cp:coreProperties>
</file>